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tm2623508d1_8k.htm"/>
      <w:bookmarkStart w:id="1" w:name="kstm2623508d1_8k"/>
      <w:bookmarkEnd w:id="0"/>
      <w:bookmarkEnd w:id="1"/>
      <w:r>
        <w:rPr/>
        <w:t> </w:t>
      </w:r>
    </w:p>
    <w:p>
      <w:pPr>
        <w:pStyle w:val="TextBody"/>
        <w:bidi w:val="0"/>
        <w:jc w:val="left"/>
        <w:rPr>
          <w:bdr w:val="single" w:sz="16" w:space="1" w:color="000000"/>
        </w:rPr>
      </w:pPr>
      <w:r>
        <w:rPr>
          <w:bdr w:val="single" w:sz="16" w:space="1" w:color="000000"/>
        </w:rPr>
        <w:t> </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 xml:space="preserve">FORM </w:t>
      </w:r>
      <w:bookmarkStart w:id="2" w:name="xdx_90E_edei--DocumentType_c20260814__20"/>
      <w:bookmarkEnd w:id="2"/>
      <w:r>
        <w:rPr>
          <w:rFonts w:ascii="Times New Roman;Times;Serif" w:hAnsi="Times New Roman;Times;Serif"/>
          <w:b/>
          <w:i w:val="false"/>
          <w:caps w:val="false"/>
          <w:smallCaps w:val="false"/>
          <w:sz w:val="36"/>
        </w:rPr>
        <w:t>8-K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CURRENT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 of the</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Date of Report (Date of earliest event reported): </w:t>
      </w:r>
      <w:bookmarkStart w:id="3" w:name="xdx_909_edei--DocumentPeriodEndDate_c202"/>
      <w:bookmarkEnd w:id="3"/>
      <w:r>
        <w:rPr>
          <w:rFonts w:ascii="Times New Roman;Times;Serif" w:hAnsi="Times New Roman;Times;Serif"/>
          <w:b/>
          <w:i w:val="false"/>
          <w:caps w:val="false"/>
          <w:smallCaps w:val="false"/>
          <w:sz w:val="20"/>
        </w:rPr>
        <w:t>August 14,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48"/>
        </w:rPr>
      </w:pPr>
      <w:bookmarkStart w:id="4" w:name="xdx_903_edei--EntityRegistrantName_dxL_c"/>
      <w:bookmarkEnd w:id="4"/>
      <w:r>
        <w:rPr>
          <w:rFonts w:ascii="Times New Roman;Times;Serif" w:hAnsi="Times New Roman;Times;Serif"/>
          <w:b/>
          <w:i w:val="false"/>
          <w:caps w:val="false"/>
          <w:smallCaps w:val="false"/>
          <w:sz w:val="48"/>
        </w:rPr>
        <w:t>EDAP TMS S.A.</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(Exact name of Registrant as specified in its charter)</w:t>
      </w:r>
    </w:p>
    <w:p>
      <w:pPr>
        <w:pStyle w:val="TextBody"/>
        <w:bidi w:val="0"/>
        <w:spacing w:before="0" w:after="0"/>
        <w:ind w:left="0" w:right="0" w:hanging="0"/>
        <w:jc w:val="left"/>
        <w:rPr>
          <w:caps w:val="false"/>
          <w:smallCaps w:val="false"/>
        </w:rPr>
      </w:pPr>
      <w:r>
        <w:rPr>
          <w:caps w:val="false"/>
          <w:smallCaps w:val="false"/>
        </w:rPr>
        <w:t> </w:t>
      </w:r>
    </w:p>
    <w:tbl>
      <w:tblPr>
        <w:tblW w:w="5730" w:type="dxa"/>
        <w:jc w:val="left"/>
        <w:tblInd w:w="0" w:type="dxa"/>
        <w:tblLayout w:type="fixed"/>
        <w:tblCellMar>
          <w:top w:w="0" w:type="dxa"/>
          <w:left w:w="0" w:type="dxa"/>
          <w:bottom w:w="0" w:type="dxa"/>
          <w:right w:w="0" w:type="dxa"/>
        </w:tblCellMar>
      </w:tblPr>
      <w:tblGrid>
        <w:gridCol w:w="2270"/>
        <w:gridCol w:w="1895"/>
        <w:gridCol w:w="1565"/>
      </w:tblGrid>
      <w:tr>
        <w:trPr/>
        <w:tc>
          <w:tcPr>
            <w:tcW w:w="2270" w:type="dxa"/>
            <w:tcBorders/>
            <w:vAlign w:val="center"/>
          </w:tcPr>
          <w:p>
            <w:pPr>
              <w:pStyle w:val="TableContents"/>
              <w:bidi w:val="0"/>
              <w:spacing w:before="0" w:after="283"/>
              <w:jc w:val="center"/>
              <w:rPr>
                <w:rFonts w:ascii="Times New Roman;Times;Serif" w:hAnsi="Times New Roman;Times;Serif"/>
                <w:b/>
                <w:sz w:val="20"/>
              </w:rPr>
            </w:pPr>
            <w:bookmarkStart w:id="5" w:name="xdx_900_edei--EntityIncorporationStateCo"/>
            <w:bookmarkEnd w:id="5"/>
            <w:r>
              <w:rPr>
                <w:rFonts w:ascii="Times New Roman;Times;Serif" w:hAnsi="Times New Roman;Times;Serif"/>
                <w:b/>
                <w:sz w:val="20"/>
              </w:rPr>
              <w:t>France</w:t>
            </w:r>
          </w:p>
        </w:tc>
        <w:tc>
          <w:tcPr>
            <w:tcW w:w="1895" w:type="dxa"/>
            <w:tcBorders/>
            <w:vAlign w:val="center"/>
          </w:tcPr>
          <w:p>
            <w:pPr>
              <w:pStyle w:val="TableContents"/>
              <w:bidi w:val="0"/>
              <w:spacing w:before="0" w:after="283"/>
              <w:jc w:val="center"/>
              <w:rPr>
                <w:rFonts w:ascii="Times New Roman;Times;Serif" w:hAnsi="Times New Roman;Times;Serif"/>
                <w:b/>
                <w:sz w:val="20"/>
              </w:rPr>
            </w:pPr>
            <w:bookmarkStart w:id="6" w:name="xdx_904_edei--EntityFileNumber_c20260814"/>
            <w:bookmarkEnd w:id="6"/>
            <w:r>
              <w:rPr>
                <w:rFonts w:ascii="Times New Roman;Times;Serif" w:hAnsi="Times New Roman;Times;Serif"/>
                <w:b/>
                <w:sz w:val="20"/>
              </w:rPr>
              <w:t>000-29374</w:t>
            </w:r>
          </w:p>
        </w:tc>
        <w:tc>
          <w:tcPr>
            <w:tcW w:w="1565" w:type="dxa"/>
            <w:tcBorders/>
            <w:vAlign w:val="center"/>
          </w:tcPr>
          <w:p>
            <w:pPr>
              <w:pStyle w:val="TableContents"/>
              <w:bidi w:val="0"/>
              <w:spacing w:before="0" w:after="283"/>
              <w:jc w:val="center"/>
              <w:rPr>
                <w:rFonts w:ascii="Times New Roman;Times;Serif" w:hAnsi="Times New Roman;Times;Serif"/>
                <w:b/>
                <w:sz w:val="20"/>
              </w:rPr>
            </w:pPr>
            <w:bookmarkStart w:id="7" w:name="xdx_90B_edei--EntityTaxIdentificationNum"/>
            <w:bookmarkEnd w:id="7"/>
            <w:r>
              <w:rPr>
                <w:rFonts w:ascii="Times New Roman;Times;Serif" w:hAnsi="Times New Roman;Times;Serif"/>
                <w:b/>
                <w:sz w:val="20"/>
              </w:rPr>
              <w:t>98-1644844</w:t>
            </w:r>
          </w:p>
        </w:tc>
      </w:tr>
      <w:tr>
        <w:trPr/>
        <w:tc>
          <w:tcPr>
            <w:tcW w:w="2270"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(State or other jurisdiction</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 incorporation)</w:t>
            </w:r>
          </w:p>
        </w:tc>
        <w:tc>
          <w:tcPr>
            <w:tcW w:w="1895"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(Commission File No.)</w:t>
            </w:r>
          </w:p>
        </w:tc>
        <w:tc>
          <w:tcPr>
            <w:tcW w:w="1565"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(I.R.S. Employer</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Identification No.)</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8" w:name="xdx_90D_edei--EntityAddressAddressLine1_"/>
      <w:bookmarkEnd w:id="8"/>
      <w:r>
        <w:rPr>
          <w:rFonts w:ascii="Times New Roman;Times;Serif" w:hAnsi="Times New Roman;Times;Serif"/>
          <w:b/>
          <w:i w:val="false"/>
          <w:caps w:val="false"/>
          <w:smallCaps w:val="false"/>
          <w:sz w:val="20"/>
        </w:rPr>
        <w:t>Parc d’Activites la Poudrette-Lamartine</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9" w:name="xdx_90C_edei--EntityAddressAddressLine2_"/>
      <w:bookmarkEnd w:id="9"/>
      <w:r>
        <w:rPr>
          <w:rFonts w:ascii="Times New Roman;Times;Serif" w:hAnsi="Times New Roman;Times;Serif"/>
          <w:b/>
          <w:i w:val="false"/>
          <w:caps w:val="false"/>
          <w:smallCaps w:val="false"/>
          <w:sz w:val="20"/>
        </w:rPr>
        <w:t xml:space="preserve">4/6, </w:t>
      </w:r>
      <w:bookmarkStart w:id="10" w:name="xdx_906_edei--EntityAddressAddressLine3_"/>
      <w:bookmarkEnd w:id="10"/>
      <w:r>
        <w:rPr>
          <w:rFonts w:ascii="Times New Roman;Times;Serif" w:hAnsi="Times New Roman;Times;Serif"/>
          <w:b/>
          <w:i w:val="false"/>
          <w:caps w:val="false"/>
          <w:smallCaps w:val="false"/>
          <w:sz w:val="20"/>
        </w:rPr>
        <w:t>rue du Dauphiné</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1" w:name="xdx_902_edei--EntityAddressCityOrTown_c2"/>
      <w:bookmarkEnd w:id="11"/>
      <w:r>
        <w:rPr>
          <w:rFonts w:ascii="Times New Roman;Times;Serif" w:hAnsi="Times New Roman;Times;Serif"/>
          <w:b/>
          <w:i w:val="false"/>
          <w:caps w:val="false"/>
          <w:smallCaps w:val="false"/>
          <w:sz w:val="20"/>
        </w:rPr>
        <w:t xml:space="preserve">Vaulx-en-Velin, </w:t>
      </w:r>
      <w:bookmarkStart w:id="12" w:name="xdx_90E_edei--EntityAddressCountry_c2026"/>
      <w:bookmarkEnd w:id="12"/>
      <w:r>
        <w:rPr>
          <w:rFonts w:ascii="Times New Roman;Times;Serif" w:hAnsi="Times New Roman;Times;Serif"/>
          <w:b/>
          <w:i w:val="false"/>
          <w:caps w:val="false"/>
          <w:smallCaps w:val="false"/>
          <w:sz w:val="20"/>
        </w:rPr>
        <w:t xml:space="preserve">France </w:t>
      </w:r>
      <w:bookmarkStart w:id="13" w:name="xdx_907_edei--EntityAddressPostalZipCode"/>
      <w:bookmarkEnd w:id="13"/>
      <w:r>
        <w:rPr>
          <w:rFonts w:ascii="Times New Roman;Times;Serif" w:hAnsi="Times New Roman;Times;Serif"/>
          <w:b/>
          <w:i w:val="false"/>
          <w:caps w:val="false"/>
          <w:smallCaps w:val="false"/>
          <w:sz w:val="20"/>
        </w:rPr>
        <w:t>69120</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(Address of Principal Executive Offices) (Zip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Registrant’s telephone number, including area code: (</w:t>
      </w:r>
      <w:bookmarkStart w:id="14" w:name="xdx_90D_edei--CityAreaCode_c20260814__20"/>
      <w:bookmarkEnd w:id="14"/>
      <w:r>
        <w:rPr>
          <w:rFonts w:ascii="Times New Roman;Times;Serif" w:hAnsi="Times New Roman;Times;Serif"/>
          <w:b/>
          <w:i w:val="false"/>
          <w:caps w:val="false"/>
          <w:smallCaps w:val="false"/>
          <w:sz w:val="20"/>
        </w:rPr>
        <w:t xml:space="preserve">+33) </w:t>
      </w:r>
      <w:bookmarkStart w:id="15" w:name="xdx_900_edei--LocalPhoneNumber_c20260814"/>
      <w:bookmarkEnd w:id="15"/>
      <w:r>
        <w:rPr>
          <w:rFonts w:ascii="Times New Roman;Times;Serif" w:hAnsi="Times New Roman;Times;Serif"/>
          <w:b/>
          <w:i w:val="false"/>
          <w:caps w:val="false"/>
          <w:smallCaps w:val="false"/>
          <w:sz w:val="20"/>
        </w:rPr>
        <w:t>47-215-3150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 Applicable</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(Former name or former address if changed since last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left"/>
        <w:rPr>
          <w:caps w:val="false"/>
          <w:smallCaps w:val="false"/>
        </w:rPr>
      </w:pPr>
      <w:r>
        <w:rPr>
          <w:caps w:val="false"/>
          <w:smallCaps w:val="false"/>
        </w:rPr>
        <w:t> </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pPr>
            <w:bookmarkStart w:id="16" w:name="xdx_907_edei--WrittenCommunications_c202"/>
            <w:bookmarkEnd w:id="16"/>
            <w:r>
              <w:rPr/>
              <w:t>☐</w:t>
            </w:r>
          </w:p>
        </w:tc>
        <w:tc>
          <w:tcPr>
            <w:tcW w:w="72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Written communications pursuant to Rule 425 under the Securities Act (17 CFR 230.425)</w:t>
            </w:r>
          </w:p>
        </w:tc>
      </w:tr>
    </w:tbl>
    <w:p>
      <w:pPr>
        <w:pStyle w:val="TextBody"/>
        <w:bidi w:val="0"/>
        <w:spacing w:before="0" w:after="0"/>
        <w:ind w:left="0" w:right="0" w:hanging="0"/>
        <w:jc w:val="left"/>
        <w:rPr>
          <w:caps w:val="false"/>
          <w:smallCaps w:val="false"/>
        </w:rPr>
      </w:pPr>
      <w:r>
        <w:rPr>
          <w:caps w:val="false"/>
          <w:smallCaps w:val="false"/>
        </w:rPr>
        <w:t> </w:t>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pPr>
            <w:bookmarkStart w:id="17" w:name="xdx_901_edei--SolicitingMaterial_c202608"/>
            <w:bookmarkEnd w:id="17"/>
            <w:r>
              <w:rPr/>
              <w:t>☐</w:t>
            </w:r>
          </w:p>
        </w:tc>
        <w:tc>
          <w:tcPr>
            <w:tcW w:w="73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Soliciting material pursuant to Rule 14a-12 under the Exchange Act (17 CFR 240.14a-12)</w:t>
            </w:r>
          </w:p>
        </w:tc>
      </w:tr>
    </w:tbl>
    <w:p>
      <w:pPr>
        <w:pStyle w:val="TextBody"/>
        <w:bidi w:val="0"/>
        <w:spacing w:before="0" w:after="0"/>
        <w:ind w:left="0" w:right="0" w:hanging="0"/>
        <w:jc w:val="left"/>
        <w:rPr>
          <w:caps w:val="false"/>
          <w:smallCaps w:val="false"/>
        </w:rPr>
      </w:pPr>
      <w:r>
        <w:rPr>
          <w:caps w:val="false"/>
          <w:smallCaps w:val="false"/>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bookmarkStart w:id="18" w:name="xdx_907_edei--PreCommencementTenderOffer"/>
            <w:bookmarkEnd w:id="18"/>
            <w:r>
              <w:rPr/>
              <w:t>☐</w:t>
            </w:r>
          </w:p>
        </w:tc>
        <w:tc>
          <w:tcPr>
            <w:tcW w:w="90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Pre-commencement communications pursuant to Rule 14d-2(b) under the Exchange Act (17 CFR 240.14d-2(b))</w:t>
            </w:r>
          </w:p>
        </w:tc>
      </w:tr>
    </w:tbl>
    <w:p>
      <w:pPr>
        <w:pStyle w:val="TextBody"/>
        <w:bidi w:val="0"/>
        <w:spacing w:before="0" w:after="0"/>
        <w:ind w:left="0" w:right="0" w:hanging="0"/>
        <w:jc w:val="left"/>
        <w:rPr>
          <w:caps w:val="false"/>
          <w:smallCaps w:val="false"/>
        </w:rPr>
      </w:pPr>
      <w:r>
        <w:rPr>
          <w:caps w:val="false"/>
          <w:smallCaps w:val="false"/>
        </w:rPr>
        <w:t> </w:t>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pPr>
            <w:bookmarkStart w:id="19" w:name="xdx_906_edei--PreCommencementIssuerTende"/>
            <w:bookmarkEnd w:id="19"/>
            <w:r>
              <w:rPr/>
              <w:t>☐</w:t>
            </w:r>
          </w:p>
        </w:tc>
        <w:tc>
          <w:tcPr>
            <w:tcW w:w="90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Pre-commencement communications pursuant to Rule 13e-4(c) under the Exchange Act (17 CFR 240.13e-4(c))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181"/>
        <w:gridCol w:w="1267"/>
        <w:gridCol w:w="2757"/>
      </w:tblGrid>
      <w:tr>
        <w:trPr/>
        <w:tc>
          <w:tcPr>
            <w:tcW w:w="6181"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Title of Each Class</w:t>
            </w:r>
          </w:p>
        </w:tc>
        <w:tc>
          <w:tcPr>
            <w:tcW w:w="1267"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Trading Symbol(s)</w:t>
            </w:r>
          </w:p>
        </w:tc>
        <w:tc>
          <w:tcPr>
            <w:tcW w:w="2757"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Name of Each Exchange on Which Registered</w:t>
            </w:r>
          </w:p>
        </w:tc>
      </w:tr>
      <w:tr>
        <w:trPr/>
        <w:tc>
          <w:tcPr>
            <w:tcW w:w="6181" w:type="dxa"/>
            <w:tcBorders/>
            <w:vAlign w:val="center"/>
          </w:tcPr>
          <w:p>
            <w:pPr>
              <w:pStyle w:val="TableContents"/>
              <w:bidi w:val="0"/>
              <w:spacing w:before="0" w:after="283"/>
              <w:jc w:val="center"/>
              <w:rPr>
                <w:rFonts w:ascii="Times New Roman;Times;Serif" w:hAnsi="Times New Roman;Times;Serif"/>
                <w:sz w:val="20"/>
              </w:rPr>
            </w:pPr>
            <w:bookmarkStart w:id="20" w:name="xdx_90F_edei--Security12bTitle_c20260814"/>
            <w:bookmarkEnd w:id="20"/>
            <w:r>
              <w:rPr>
                <w:rFonts w:ascii="Times New Roman;Times;Serif" w:hAnsi="Times New Roman;Times;Serif"/>
                <w:sz w:val="20"/>
              </w:rPr>
              <w:t>American Depositary Shares, each representing one Ordinary Share (Ordinary Shares, nominal value €0.13 per share)</w:t>
            </w:r>
          </w:p>
        </w:tc>
        <w:tc>
          <w:tcPr>
            <w:tcW w:w="1267" w:type="dxa"/>
            <w:tcBorders/>
            <w:vAlign w:val="center"/>
          </w:tcPr>
          <w:p>
            <w:pPr>
              <w:pStyle w:val="TableContents"/>
              <w:bidi w:val="0"/>
              <w:spacing w:before="0" w:after="283"/>
              <w:jc w:val="center"/>
              <w:rPr>
                <w:rFonts w:ascii="Times New Roman;Times;Serif" w:hAnsi="Times New Roman;Times;Serif"/>
                <w:sz w:val="20"/>
              </w:rPr>
            </w:pPr>
            <w:bookmarkStart w:id="21" w:name="xdx_901_edei--TradingSymbol_c20260814__2"/>
            <w:bookmarkEnd w:id="21"/>
            <w:r>
              <w:rPr>
                <w:rFonts w:ascii="Times New Roman;Times;Serif" w:hAnsi="Times New Roman;Times;Serif"/>
                <w:sz w:val="20"/>
              </w:rPr>
              <w:t>FOCL</w:t>
            </w:r>
          </w:p>
        </w:tc>
        <w:tc>
          <w:tcPr>
            <w:tcW w:w="2757" w:type="dxa"/>
            <w:tcBorders/>
            <w:vAlign w:val="center"/>
          </w:tcPr>
          <w:p>
            <w:pPr>
              <w:pStyle w:val="TableContents"/>
              <w:bidi w:val="0"/>
              <w:spacing w:before="0" w:after="283"/>
              <w:jc w:val="center"/>
              <w:rPr>
                <w:rFonts w:ascii="Times New Roman;Times;Serif" w:hAnsi="Times New Roman;Times;Serif"/>
                <w:sz w:val="20"/>
              </w:rPr>
            </w:pPr>
            <w:bookmarkStart w:id="22" w:name="xdx_909_edei--SecurityExchangeName_c2026"/>
            <w:bookmarkEnd w:id="22"/>
            <w:r>
              <w:rPr>
                <w:rFonts w:ascii="Times New Roman;Times;Serif" w:hAnsi="Times New Roman;Times;Serif"/>
                <w:sz w:val="20"/>
              </w:rPr>
              <w:t>NASDAQ Global Market</w:t>
            </w:r>
          </w:p>
        </w:tc>
      </w:tr>
    </w:tbl>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9960"/>
        <w:gridCol w:w="245"/>
      </w:tblGrid>
      <w:tr>
        <w:trPr/>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Indicated by check mark whether the registrant is an emerging growth company as defined in Rule 405 of the Securities Act of 1933 (§230.405 of this chapter) or Rule 12b-2 of the Securities Exchange Act of 1934 (§240.12b-2 of this chapter).</w:t>
            </w:r>
          </w:p>
        </w:tc>
        <w:tc>
          <w:tcPr>
            <w:tcW w:w="245" w:type="dxa"/>
            <w:tcBorders/>
            <w:vAlign w:val="center"/>
          </w:tcPr>
          <w:p>
            <w:pPr>
              <w:pStyle w:val="TableContents"/>
              <w:bidi w:val="0"/>
              <w:spacing w:before="0" w:after="283"/>
              <w:jc w:val="left"/>
              <w:rPr/>
            </w:pPr>
            <w:r>
              <w:rPr/>
              <w:t> </w:t>
            </w:r>
          </w:p>
        </w:tc>
      </w:tr>
      <w:tr>
        <w:trPr/>
        <w:tc>
          <w:tcPr>
            <w:tcW w:w="996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Emerging Growth Company</w:t>
            </w:r>
          </w:p>
        </w:tc>
        <w:tc>
          <w:tcPr>
            <w:tcW w:w="245" w:type="dxa"/>
            <w:tcBorders/>
            <w:vAlign w:val="center"/>
          </w:tcPr>
          <w:p>
            <w:pPr>
              <w:pStyle w:val="TableContents"/>
              <w:bidi w:val="0"/>
              <w:spacing w:before="0" w:after="283"/>
              <w:jc w:val="left"/>
              <w:rPr/>
            </w:pPr>
            <w:bookmarkStart w:id="23" w:name="xdx_906_edei--EntityEmergingGrowthCompan"/>
            <w:bookmarkEnd w:id="23"/>
            <w:r>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2020" w:type="dxa"/>
        <w:jc w:val="left"/>
        <w:tblInd w:w="0" w:type="dxa"/>
        <w:tblLayout w:type="fixed"/>
        <w:tblCellMar>
          <w:top w:w="0" w:type="dxa"/>
          <w:left w:w="0" w:type="dxa"/>
          <w:bottom w:w="0" w:type="dxa"/>
          <w:right w:w="0" w:type="dxa"/>
        </w:tblCellMar>
      </w:tblPr>
      <w:tblGrid>
        <w:gridCol w:w="830"/>
        <w:gridCol w:w="1190"/>
      </w:tblGrid>
      <w:tr>
        <w:trPr/>
        <w:tc>
          <w:tcPr>
            <w:tcW w:w="830" w:type="dxa"/>
            <w:tcBorders/>
            <w:vAlign w:val="center"/>
          </w:tcPr>
          <w:p>
            <w:pPr>
              <w:pStyle w:val="TableContents"/>
              <w:bidi w:val="0"/>
              <w:spacing w:before="0" w:after="283"/>
              <w:jc w:val="left"/>
              <w:rPr>
                <w:b/>
                <w:sz w:val="20"/>
              </w:rPr>
            </w:pPr>
            <w:r>
              <w:rPr>
                <w:b/>
                <w:sz w:val="20"/>
              </w:rPr>
              <w:t>Item 8.01</w:t>
            </w:r>
          </w:p>
        </w:tc>
        <w:tc>
          <w:tcPr>
            <w:tcW w:w="1190" w:type="dxa"/>
            <w:tcBorders/>
            <w:vAlign w:val="center"/>
          </w:tcPr>
          <w:p>
            <w:pPr>
              <w:pStyle w:val="TableContents"/>
              <w:bidi w:val="0"/>
              <w:spacing w:before="0" w:after="283"/>
              <w:jc w:val="both"/>
              <w:rPr>
                <w:b/>
                <w:sz w:val="20"/>
              </w:rPr>
            </w:pPr>
            <w:r>
              <w:rPr>
                <w:b/>
                <w:sz w:val="20"/>
              </w:rPr>
              <w:t>Other Events.</w:t>
            </w:r>
          </w:p>
        </w:tc>
      </w:tr>
    </w:tbl>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previously disclosed, on August 11, 2026, EDAP TMS S.A. (the “Company”) entered into an underwriting agreement (the “Underwriting Agreement”) with TD Securities (USA) LLC and Mizuho Securities USA LLC, as representatives of the underwriters named therein (the “Underwriters”), relating to an underwritten public offering (the “Offering”) of 8,425,000 American Depositary Shares (“ADSs”), each representing one ordinary share of the Company, €0.13 nominal value per share (the “Ordinary Shares”), at a price of $4.75 per ADS, before underwriting discounts and commissions. The Offering closed on August 14, 2026. Under the terms of the Underwriting Agreement, the Company granted the Underwriters a 30-day option, exercisable in whole or in part, to purchase up to an additional 1,263,750 ADSs sold in the Offering (the “Option”). The Underwriting Agreement was previously filed as Exhibit 1.1 to the Company’s Current Report on Form 8-K filed on August 14,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14, 2026, the Underwriters fully exercised the Option, electing to purchase an additional 1,263,750 ADSs (the “Additional ADSs”). The issuance of the Additional ADSs pursuant to the Option is expected to close on August 19, 2026, and is expected to result in net proceeds to the Company of approximately $5.6 million, after deducting underwriting discounts and commissions and before estimated offering expenses.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copy of the opinion of Jones Day, counsel to the Company, relating to the validity of the Ordinary Shares and Additional ADSs in the Option is filed as Exhibit 5.1 to this Current Report on Form 8-K.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4540" w:type="dxa"/>
        <w:jc w:val="left"/>
        <w:tblInd w:w="0" w:type="dxa"/>
        <w:tblLayout w:type="fixed"/>
        <w:tblCellMar>
          <w:top w:w="0" w:type="dxa"/>
          <w:left w:w="0" w:type="dxa"/>
          <w:bottom w:w="0" w:type="dxa"/>
          <w:right w:w="0" w:type="dxa"/>
        </w:tblCellMar>
      </w:tblPr>
      <w:tblGrid>
        <w:gridCol w:w="980"/>
        <w:gridCol w:w="3560"/>
      </w:tblGrid>
      <w:tr>
        <w:trPr/>
        <w:tc>
          <w:tcPr>
            <w:tcW w:w="980" w:type="dxa"/>
            <w:tcBorders/>
            <w:vAlign w:val="center"/>
          </w:tcPr>
          <w:p>
            <w:pPr>
              <w:pStyle w:val="TableContents"/>
              <w:bidi w:val="0"/>
              <w:spacing w:before="0" w:after="283"/>
              <w:jc w:val="left"/>
              <w:rPr>
                <w:b/>
              </w:rPr>
            </w:pPr>
            <w:r>
              <w:rPr>
                <w:b/>
              </w:rPr>
              <w:t>Item 9.01</w:t>
            </w:r>
          </w:p>
        </w:tc>
        <w:tc>
          <w:tcPr>
            <w:tcW w:w="3560" w:type="dxa"/>
            <w:tcBorders/>
            <w:vAlign w:val="center"/>
          </w:tcPr>
          <w:p>
            <w:pPr>
              <w:pStyle w:val="TableContents"/>
              <w:bidi w:val="0"/>
              <w:spacing w:before="0" w:after="283"/>
              <w:jc w:val="left"/>
              <w:rPr>
                <w:b/>
              </w:rPr>
            </w:pPr>
            <w:r>
              <w:rPr>
                <w:b/>
              </w:rPr>
              <w:t>Financial Statements and Exhibits.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Exhibits</w:t>
      </w:r>
    </w:p>
    <w:p>
      <w:pPr>
        <w:pStyle w:val="TextBody"/>
        <w:bidi w:val="0"/>
        <w:spacing w:before="0" w:after="0"/>
        <w:ind w:left="0" w:right="0" w:hanging="0"/>
        <w:jc w:val="left"/>
        <w:rPr>
          <w:caps w:val="false"/>
          <w:smallCaps w:val="false"/>
        </w:rPr>
      </w:pPr>
      <w:r>
        <w:rPr>
          <w:caps w:val="false"/>
          <w:smallCaps w:val="false"/>
        </w:rPr>
        <w:t> </w:t>
      </w:r>
    </w:p>
    <w:tbl>
      <w:tblPr>
        <w:tblW w:w="9355" w:type="dxa"/>
        <w:jc w:val="left"/>
        <w:tblInd w:w="0" w:type="dxa"/>
        <w:tblLayout w:type="fixed"/>
        <w:tblCellMar>
          <w:top w:w="0" w:type="dxa"/>
          <w:left w:w="0" w:type="dxa"/>
          <w:bottom w:w="28" w:type="dxa"/>
          <w:right w:w="0" w:type="dxa"/>
        </w:tblCellMar>
      </w:tblPr>
      <w:tblGrid>
        <w:gridCol w:w="995"/>
        <w:gridCol w:w="60"/>
        <w:gridCol w:w="8300"/>
      </w:tblGrid>
      <w:tr>
        <w:trPr/>
        <w:tc>
          <w:tcPr>
            <w:tcW w:w="995" w:type="dxa"/>
            <w:tcBorders>
              <w:bottom w:val="single" w:sz="8" w:space="0" w:color="000000"/>
            </w:tcBorders>
            <w:vAlign w:val="center"/>
          </w:tcPr>
          <w:p>
            <w:pPr>
              <w:pStyle w:val="TableContents"/>
              <w:bidi w:val="0"/>
              <w:spacing w:before="0" w:after="283"/>
              <w:jc w:val="center"/>
              <w:rPr>
                <w:b/>
                <w:sz w:val="20"/>
              </w:rPr>
            </w:pPr>
            <w:r>
              <w:rPr>
                <w:b/>
                <w:sz w:val="20"/>
              </w:rPr>
              <w:t>Exhibit No.</w:t>
            </w:r>
          </w:p>
        </w:tc>
        <w:tc>
          <w:tcPr>
            <w:tcW w:w="60" w:type="dxa"/>
            <w:tcBorders/>
            <w:tcMar>
              <w:bottom w:w="0" w:type="dxa"/>
            </w:tcMar>
            <w:vAlign w:val="center"/>
          </w:tcPr>
          <w:p>
            <w:pPr>
              <w:pStyle w:val="TableContents"/>
              <w:bidi w:val="0"/>
              <w:spacing w:before="0" w:after="283"/>
              <w:jc w:val="left"/>
              <w:rPr/>
            </w:pPr>
            <w:r>
              <w:rPr/>
              <w:t> </w:t>
            </w:r>
          </w:p>
        </w:tc>
        <w:tc>
          <w:tcPr>
            <w:tcW w:w="8300" w:type="dxa"/>
            <w:tcBorders>
              <w:bottom w:val="single" w:sz="8" w:space="0" w:color="000000"/>
            </w:tcBorders>
            <w:vAlign w:val="center"/>
          </w:tcPr>
          <w:p>
            <w:pPr>
              <w:pStyle w:val="TableContents"/>
              <w:bidi w:val="0"/>
              <w:spacing w:before="0" w:after="283"/>
              <w:jc w:val="left"/>
              <w:rPr>
                <w:b/>
                <w:sz w:val="20"/>
              </w:rPr>
            </w:pPr>
            <w:r>
              <w:rPr>
                <w:b/>
                <w:sz w:val="20"/>
              </w:rPr>
              <w:t>Description</w:t>
            </w:r>
          </w:p>
        </w:tc>
      </w:tr>
      <w:tr>
        <w:trPr/>
        <w:tc>
          <w:tcPr>
            <w:tcW w:w="995" w:type="dxa"/>
            <w:tcBorders/>
            <w:tcMar>
              <w:bottom w:w="0" w:type="dxa"/>
            </w:tcMar>
            <w:vAlign w:val="center"/>
          </w:tcPr>
          <w:p>
            <w:pPr>
              <w:pStyle w:val="TableContents"/>
              <w:bidi w:val="0"/>
              <w:spacing w:before="0" w:after="283"/>
              <w:jc w:val="left"/>
              <w:rPr/>
            </w:pPr>
            <w:r>
              <w:rPr/>
              <w:t> </w:t>
            </w:r>
          </w:p>
        </w:tc>
        <w:tc>
          <w:tcPr>
            <w:tcW w:w="8360" w:type="dxa"/>
            <w:gridSpan w:val="2"/>
            <w:tcBorders/>
            <w:tcMar>
              <w:bottom w:w="0" w:type="dxa"/>
            </w:tcMar>
            <w:vAlign w:val="center"/>
          </w:tcPr>
          <w:p>
            <w:pPr>
              <w:pStyle w:val="TableContents"/>
              <w:bidi w:val="0"/>
              <w:spacing w:before="0" w:after="283"/>
              <w:jc w:val="left"/>
              <w:rPr/>
            </w:pPr>
            <w:r>
              <w:rPr/>
              <w:t> </w:t>
            </w:r>
          </w:p>
        </w:tc>
      </w:tr>
      <w:tr>
        <w:trPr/>
        <w:tc>
          <w:tcPr>
            <w:tcW w:w="995" w:type="dxa"/>
            <w:tcBorders/>
            <w:tcMar>
              <w:bottom w:w="0" w:type="dxa"/>
            </w:tcMar>
            <w:vAlign w:val="center"/>
          </w:tcPr>
          <w:p>
            <w:pPr>
              <w:pStyle w:val="TableContents"/>
              <w:bidi w:val="0"/>
              <w:spacing w:before="0" w:after="283"/>
              <w:jc w:val="center"/>
              <w:rPr/>
            </w:pPr>
            <w:hyperlink w:anchor="tm2623508d1_ex5-1.htm">
              <w:r>
                <w:rPr>
                  <w:rStyle w:val="InternetLink"/>
                  <w:sz w:val="20"/>
                </w:rPr>
                <w:t>5.1</w:t>
              </w:r>
            </w:hyperlink>
          </w:p>
        </w:tc>
        <w:tc>
          <w:tcPr>
            <w:tcW w:w="60" w:type="dxa"/>
            <w:tcBorders/>
            <w:tcMar>
              <w:bottom w:w="0" w:type="dxa"/>
            </w:tcMar>
            <w:vAlign w:val="center"/>
          </w:tcPr>
          <w:p>
            <w:pPr>
              <w:pStyle w:val="TableContents"/>
              <w:bidi w:val="0"/>
              <w:spacing w:before="0" w:after="283"/>
              <w:jc w:val="left"/>
              <w:rPr/>
            </w:pPr>
            <w:r>
              <w:rPr/>
              <w:t> </w:t>
            </w:r>
          </w:p>
        </w:tc>
        <w:tc>
          <w:tcPr>
            <w:tcW w:w="8300" w:type="dxa"/>
            <w:tcBorders/>
            <w:tcMar>
              <w:bottom w:w="0" w:type="dxa"/>
            </w:tcMar>
            <w:vAlign w:val="center"/>
          </w:tcPr>
          <w:p>
            <w:pPr>
              <w:pStyle w:val="TableContents"/>
              <w:bidi w:val="0"/>
              <w:spacing w:before="0" w:after="283"/>
              <w:jc w:val="left"/>
              <w:rPr/>
            </w:pPr>
            <w:hyperlink w:anchor="tm2623508d1_ex5-1.htm">
              <w:r>
                <w:rPr>
                  <w:rStyle w:val="InternetLink"/>
                  <w:sz w:val="20"/>
                </w:rPr>
                <w:t>Opinion of Jones Day</w:t>
              </w:r>
            </w:hyperlink>
          </w:p>
        </w:tc>
      </w:tr>
      <w:tr>
        <w:trPr/>
        <w:tc>
          <w:tcPr>
            <w:tcW w:w="995" w:type="dxa"/>
            <w:tcBorders/>
            <w:tcMar>
              <w:bottom w:w="0" w:type="dxa"/>
            </w:tcMar>
            <w:vAlign w:val="center"/>
          </w:tcPr>
          <w:p>
            <w:pPr>
              <w:pStyle w:val="TableContents"/>
              <w:bidi w:val="0"/>
              <w:spacing w:before="0" w:after="283"/>
              <w:jc w:val="center"/>
              <w:rPr/>
            </w:pPr>
            <w:hyperlink w:anchor="tm2623508d1_ex5-1.htm">
              <w:r>
                <w:rPr>
                  <w:rStyle w:val="InternetLink"/>
                  <w:sz w:val="20"/>
                </w:rPr>
                <w:t>23.1</w:t>
              </w:r>
            </w:hyperlink>
          </w:p>
        </w:tc>
        <w:tc>
          <w:tcPr>
            <w:tcW w:w="60" w:type="dxa"/>
            <w:tcBorders/>
            <w:tcMar>
              <w:bottom w:w="0" w:type="dxa"/>
            </w:tcMar>
            <w:vAlign w:val="center"/>
          </w:tcPr>
          <w:p>
            <w:pPr>
              <w:pStyle w:val="TableContents"/>
              <w:bidi w:val="0"/>
              <w:spacing w:before="0" w:after="283"/>
              <w:jc w:val="left"/>
              <w:rPr/>
            </w:pPr>
            <w:r>
              <w:rPr/>
              <w:t> </w:t>
            </w:r>
          </w:p>
        </w:tc>
        <w:tc>
          <w:tcPr>
            <w:tcW w:w="8300" w:type="dxa"/>
            <w:tcBorders/>
            <w:tcMar>
              <w:bottom w:w="0" w:type="dxa"/>
            </w:tcMar>
            <w:vAlign w:val="center"/>
          </w:tcPr>
          <w:p>
            <w:pPr>
              <w:pStyle w:val="TableContents"/>
              <w:bidi w:val="0"/>
              <w:spacing w:before="0" w:after="283"/>
              <w:jc w:val="left"/>
              <w:rPr/>
            </w:pPr>
            <w:hyperlink w:anchor="tm2623508d1_ex5-1.htm">
              <w:r>
                <w:rPr>
                  <w:rStyle w:val="InternetLink"/>
                  <w:sz w:val="20"/>
                </w:rPr>
                <w:t>Consent of Jones Day (included in Exhibit 5.1)</w:t>
              </w:r>
            </w:hyperlink>
          </w:p>
        </w:tc>
      </w:tr>
      <w:tr>
        <w:trPr/>
        <w:tc>
          <w:tcPr>
            <w:tcW w:w="995" w:type="dxa"/>
            <w:tcBorders/>
            <w:tcMar>
              <w:bottom w:w="0" w:type="dxa"/>
            </w:tcMar>
            <w:vAlign w:val="center"/>
          </w:tcPr>
          <w:p>
            <w:pPr>
              <w:pStyle w:val="TableContents"/>
              <w:bidi w:val="0"/>
              <w:spacing w:before="0" w:after="283"/>
              <w:jc w:val="center"/>
              <w:rPr>
                <w:sz w:val="20"/>
              </w:rPr>
            </w:pPr>
            <w:r>
              <w:rPr>
                <w:sz w:val="20"/>
              </w:rPr>
              <w:t>104</w:t>
            </w:r>
          </w:p>
        </w:tc>
        <w:tc>
          <w:tcPr>
            <w:tcW w:w="60" w:type="dxa"/>
            <w:tcBorders/>
            <w:tcMar>
              <w:bottom w:w="0" w:type="dxa"/>
            </w:tcMar>
            <w:vAlign w:val="center"/>
          </w:tcPr>
          <w:p>
            <w:pPr>
              <w:pStyle w:val="TableContents"/>
              <w:bidi w:val="0"/>
              <w:spacing w:before="0" w:after="283"/>
              <w:jc w:val="left"/>
              <w:rPr/>
            </w:pPr>
            <w:r>
              <w:rPr/>
              <w:t> </w:t>
            </w:r>
          </w:p>
        </w:tc>
        <w:tc>
          <w:tcPr>
            <w:tcW w:w="8300" w:type="dxa"/>
            <w:tcBorders/>
            <w:tcMar>
              <w:bottom w:w="0" w:type="dxa"/>
            </w:tcMar>
            <w:vAlign w:val="center"/>
          </w:tcPr>
          <w:p>
            <w:pPr>
              <w:pStyle w:val="TableContents"/>
              <w:bidi w:val="0"/>
              <w:spacing w:before="0" w:after="283"/>
              <w:jc w:val="left"/>
              <w:rPr>
                <w:sz w:val="20"/>
              </w:rPr>
            </w:pPr>
            <w:r>
              <w:rPr>
                <w:sz w:val="20"/>
              </w:rPr>
              <w:t>Cover Page Interactive Data File-the cover page XBRL (embedded within the Inline XBRL document)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tbl>
      <w:tblPr>
        <w:tblW w:w="6165" w:type="dxa"/>
        <w:jc w:val="left"/>
        <w:tblInd w:w="0" w:type="dxa"/>
        <w:tblLayout w:type="fixed"/>
        <w:tblCellMar>
          <w:top w:w="0" w:type="dxa"/>
          <w:left w:w="0" w:type="dxa"/>
          <w:bottom w:w="0" w:type="dxa"/>
          <w:right w:w="0" w:type="dxa"/>
        </w:tblCellMar>
      </w:tblPr>
      <w:tblGrid>
        <w:gridCol w:w="1865"/>
        <w:gridCol w:w="320"/>
        <w:gridCol w:w="3980"/>
      </w:tblGrid>
      <w:tr>
        <w:trPr/>
        <w:tc>
          <w:tcPr>
            <w:tcW w:w="1865" w:type="dxa"/>
            <w:tcBorders/>
            <w:vAlign w:val="center"/>
          </w:tcPr>
          <w:p>
            <w:pPr>
              <w:pStyle w:val="TableContents"/>
              <w:bidi w:val="0"/>
              <w:spacing w:before="0" w:after="283"/>
              <w:jc w:val="left"/>
              <w:rPr/>
            </w:pPr>
            <w:r>
              <w:rPr/>
              <w:t> </w:t>
            </w:r>
          </w:p>
        </w:tc>
        <w:tc>
          <w:tcPr>
            <w:tcW w:w="4300" w:type="dxa"/>
            <w:gridSpan w:val="2"/>
            <w:tcBorders/>
            <w:vAlign w:val="center"/>
          </w:tcPr>
          <w:p>
            <w:pPr>
              <w:pStyle w:val="TableContents"/>
              <w:bidi w:val="0"/>
              <w:spacing w:before="0" w:after="283"/>
              <w:jc w:val="left"/>
              <w:rPr>
                <w:sz w:val="20"/>
              </w:rPr>
            </w:pPr>
            <w:r>
              <w:rPr>
                <w:sz w:val="20"/>
              </w:rPr>
              <w:t>EDAP TMS S.A.</w:t>
            </w:r>
          </w:p>
        </w:tc>
      </w:tr>
      <w:tr>
        <w:trPr/>
        <w:tc>
          <w:tcPr>
            <w:tcW w:w="186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3980" w:type="dxa"/>
            <w:tcBorders/>
            <w:vAlign w:val="center"/>
          </w:tcPr>
          <w:p>
            <w:pPr>
              <w:pStyle w:val="TableContents"/>
              <w:bidi w:val="0"/>
              <w:spacing w:before="0" w:after="283"/>
              <w:jc w:val="left"/>
              <w:rPr/>
            </w:pPr>
            <w:r>
              <w:rPr/>
              <w:t> </w:t>
            </w:r>
          </w:p>
        </w:tc>
      </w:tr>
      <w:tr>
        <w:trPr/>
        <w:tc>
          <w:tcPr>
            <w:tcW w:w="1865" w:type="dxa"/>
            <w:tcBorders/>
            <w:vAlign w:val="center"/>
          </w:tcPr>
          <w:p>
            <w:pPr>
              <w:pStyle w:val="TableContents"/>
              <w:bidi w:val="0"/>
              <w:spacing w:before="0" w:after="283"/>
              <w:jc w:val="left"/>
              <w:rPr>
                <w:sz w:val="20"/>
              </w:rPr>
            </w:pPr>
            <w:r>
              <w:rPr>
                <w:sz w:val="20"/>
              </w:rPr>
              <w:t>Date: August 19, 2026</w:t>
            </w:r>
          </w:p>
        </w:tc>
        <w:tc>
          <w:tcPr>
            <w:tcW w:w="320" w:type="dxa"/>
            <w:tcBorders/>
            <w:vAlign w:val="center"/>
          </w:tcPr>
          <w:p>
            <w:pPr>
              <w:pStyle w:val="TableContents"/>
              <w:bidi w:val="0"/>
              <w:spacing w:before="0" w:after="283"/>
              <w:jc w:val="left"/>
              <w:rPr>
                <w:sz w:val="20"/>
              </w:rPr>
            </w:pPr>
            <w:r>
              <w:rPr>
                <w:sz w:val="20"/>
              </w:rPr>
              <w:t>By:</w:t>
            </w:r>
          </w:p>
        </w:tc>
        <w:tc>
          <w:tcPr>
            <w:tcW w:w="3980" w:type="dxa"/>
            <w:tcBorders>
              <w:bottom w:val="single" w:sz="8" w:space="0" w:color="000000"/>
            </w:tcBorders>
            <w:tcMar>
              <w:bottom w:w="28" w:type="dxa"/>
            </w:tcMar>
            <w:vAlign w:val="center"/>
          </w:tcPr>
          <w:p>
            <w:pPr>
              <w:pStyle w:val="TableContents"/>
              <w:bidi w:val="0"/>
              <w:spacing w:before="0" w:after="283"/>
              <w:jc w:val="center"/>
              <w:rPr>
                <w:sz w:val="20"/>
              </w:rPr>
            </w:pPr>
            <w:r>
              <w:rPr>
                <w:sz w:val="20"/>
              </w:rPr>
              <w:t>/s/ Sanket Shah</w:t>
            </w:r>
          </w:p>
        </w:tc>
      </w:tr>
      <w:tr>
        <w:trPr/>
        <w:tc>
          <w:tcPr>
            <w:tcW w:w="186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3980" w:type="dxa"/>
            <w:tcBorders/>
            <w:vAlign w:val="center"/>
          </w:tcPr>
          <w:p>
            <w:pPr>
              <w:pStyle w:val="TableContents"/>
              <w:bidi w:val="0"/>
              <w:spacing w:before="0" w:after="283"/>
              <w:jc w:val="center"/>
              <w:rPr>
                <w:sz w:val="20"/>
              </w:rPr>
            </w:pPr>
            <w:r>
              <w:rPr>
                <w:sz w:val="20"/>
              </w:rPr>
              <w:t>Sanket Shah</w:t>
            </w:r>
          </w:p>
        </w:tc>
      </w:tr>
      <w:tr>
        <w:trPr/>
        <w:tc>
          <w:tcPr>
            <w:tcW w:w="186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3980" w:type="dxa"/>
            <w:tcBorders/>
            <w:vAlign w:val="center"/>
          </w:tcPr>
          <w:p>
            <w:pPr>
              <w:pStyle w:val="TableContents"/>
              <w:bidi w:val="0"/>
              <w:spacing w:before="0" w:after="283"/>
              <w:jc w:val="center"/>
              <w:rPr/>
            </w:pPr>
            <w:r>
              <w:rPr/>
              <w:t>General Counsel and Corporate Secretary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right"/>
        <w:rPr>
          <w:b/>
        </w:rPr>
      </w:pPr>
      <w:bookmarkStart w:id="24" w:name="tm2623508d1_ex5-1.htm"/>
      <w:bookmarkStart w:id="25" w:name="kstm2623508d1_ex51"/>
      <w:bookmarkEnd w:id="24"/>
      <w:bookmarkEnd w:id="25"/>
      <w:r>
        <w:rPr>
          <w:b/>
        </w:rPr>
        <w:t>Exhibit 5.1</w:t>
      </w:r>
      <w:r>
        <w:br w:type="page"/>
      </w:r>
    </w:p>
    <w:p>
      <w:pPr>
        <w:pStyle w:val="TextBody"/>
        <w:bidi w:val="0"/>
        <w:spacing w:before="0" w:after="283"/>
        <w:jc w:val="left"/>
        <w:rPr/>
      </w:pPr>
      <w:r>
        <w:rPr/>
        <w:t> </w:t>
      </w:r>
    </w:p>
    <w:p>
      <w:pPr>
        <w:pStyle w:val="TextBody"/>
        <w:bidi w:val="0"/>
        <w:spacing w:before="0" w:after="0"/>
        <w:ind w:left="0" w:right="0" w:hanging="0"/>
        <w:jc w:val="center"/>
        <w:rPr>
          <w:caps w:val="false"/>
          <w:smallCaps w:val="false"/>
        </w:rPr>
      </w:pPr>
      <w:r>
        <w:rPr>
          <w:caps w:val="false"/>
          <w:smallCaps w:val="false"/>
        </w:rPr>
        <w:drawing>
          <wp:inline distT="0" distB="0" distL="0" distR="0">
            <wp:extent cx="1390650" cy="2286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390650" cy="228600"/>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smallCaps/>
          <w:sz w:val="20"/>
        </w:rPr>
      </w:pPr>
      <w:r>
        <w:rPr>
          <w:rFonts w:ascii="Times New Roman;Times;Serif" w:hAnsi="Times New Roman;Times;Serif"/>
          <w:b w:val="false"/>
          <w:i w:val="false"/>
          <w:smallCaps/>
          <w:sz w:val="20"/>
        </w:rPr>
        <w:t>PARTNERSHIP CONSTITUEE SELON LE DROIT DE L’OHIO, USA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smallCaps/>
          <w:sz w:val="20"/>
        </w:rPr>
      </w:pPr>
      <w:r>
        <w:rPr>
          <w:rFonts w:ascii="Times New Roman;Times;Serif" w:hAnsi="Times New Roman;Times;Serif"/>
          <w:b w:val="false"/>
          <w:i w:val="false"/>
          <w:smallCaps/>
          <w:sz w:val="20"/>
        </w:rPr>
        <w:t>AVOCATS AU BARREAU DE PARIS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smallCaps/>
          <w:sz w:val="20"/>
        </w:rPr>
      </w:pPr>
      <w:r>
        <w:rPr>
          <w:rFonts w:ascii="Times New Roman;Times;Serif" w:hAnsi="Times New Roman;Times;Serif"/>
          <w:b w:val="false"/>
          <w:i w:val="false"/>
          <w:smallCaps/>
          <w:sz w:val="20"/>
        </w:rPr>
        <w:t xml:space="preserve">2, RUE SAINT-FLORENTIN </w:t>
      </w:r>
      <w:r>
        <w:rPr>
          <w:rFonts w:ascii="Symbol" w:hAnsi="Symbol"/>
          <w:b w:val="false"/>
          <w:i w:val="false"/>
          <w:smallCaps/>
          <w:sz w:val="20"/>
        </w:rPr>
        <w:t>·</w:t>
      </w:r>
      <w:r>
        <w:rPr>
          <w:rFonts w:ascii="Times New Roman;Times;Serif" w:hAnsi="Times New Roman;Times;Serif"/>
          <w:b w:val="false"/>
          <w:i w:val="false"/>
          <w:smallCaps/>
          <w:sz w:val="20"/>
        </w:rPr>
        <w:t xml:space="preserve"> 75001 PARIS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smallCaps/>
          <w:sz w:val="20"/>
        </w:rPr>
      </w:pPr>
      <w:r>
        <w:rPr>
          <w:rFonts w:ascii="Times New Roman;Times;Serif" w:hAnsi="Times New Roman;Times;Serif"/>
          <w:b w:val="false"/>
          <w:i w:val="false"/>
          <w:smallCaps/>
          <w:sz w:val="20"/>
        </w:rPr>
        <w:t xml:space="preserve">TELEPHONE: (0)1.56.59.39.39 </w:t>
      </w:r>
      <w:r>
        <w:rPr>
          <w:rFonts w:ascii="Symbol" w:hAnsi="Symbol"/>
          <w:b w:val="false"/>
          <w:i w:val="false"/>
          <w:smallCaps/>
          <w:sz w:val="20"/>
        </w:rPr>
        <w:t>·</w:t>
      </w:r>
      <w:r>
        <w:rPr>
          <w:rFonts w:ascii="Times New Roman;Times;Serif" w:hAnsi="Times New Roman;Times;Serif"/>
          <w:b w:val="false"/>
          <w:i w:val="false"/>
          <w:smallCaps/>
          <w:sz w:val="20"/>
        </w:rPr>
        <w:t xml:space="preserve"> FACSIMILE: (0)1.56.59.39.38 </w:t>
      </w:r>
      <w:r>
        <w:rPr>
          <w:rFonts w:ascii="Symbol" w:hAnsi="Symbol"/>
          <w:b w:val="false"/>
          <w:i w:val="false"/>
          <w:smallCaps/>
          <w:sz w:val="20"/>
        </w:rPr>
        <w:t>·</w:t>
      </w:r>
      <w:r>
        <w:rPr>
          <w:rFonts w:ascii="Times New Roman;Times;Serif" w:hAnsi="Times New Roman;Times;Serif"/>
          <w:b w:val="false"/>
          <w:i w:val="false"/>
          <w:smallCaps/>
          <w:sz w:val="20"/>
        </w:rPr>
        <w:t xml:space="preserve"> TOQUE J 001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smallCaps/>
          <w:sz w:val="20"/>
        </w:rPr>
      </w:pPr>
      <w:r>
        <w:rPr>
          <w:rFonts w:ascii="Times New Roman;Times;Serif" w:hAnsi="Times New Roman;Times;Serif"/>
          <w:b w:val="false"/>
          <w:i w:val="false"/>
          <w:smallCaps/>
          <w:sz w:val="20"/>
        </w:rPr>
        <w:t>WWW.JONESDAY.COM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August 19,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EDAP TMS S.A.</w:t>
        <w:br/>
        <w:t>Parc d’Activités la Poudrette-Lamartine</w:t>
        <w:br/>
        <w:t>4/6, rue du Dauphiné</w:t>
        <w:br/>
        <w:t>69120 Vaulx-en-Velin</w:t>
        <w:br/>
        <w:t>France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 1,263,750 ordinary shares in the form of American depositary shares issued by EDAP TMS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Ladies and Gentlemen: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are acting as special French counsel for EDAP TMS, a French </w:t>
      </w:r>
      <w:r>
        <w:rPr>
          <w:rFonts w:ascii="Times New Roman;Times;Serif" w:hAnsi="Times New Roman;Times;Serif"/>
          <w:b w:val="false"/>
          <w:i/>
          <w:caps w:val="false"/>
          <w:smallCaps w:val="false"/>
          <w:sz w:val="20"/>
        </w:rPr>
        <w:t>société anonyme</w:t>
      </w:r>
      <w:r>
        <w:rPr>
          <w:rFonts w:ascii="Times New Roman;Times;Serif" w:hAnsi="Times New Roman;Times;Serif"/>
          <w:b w:val="false"/>
          <w:i w:val="false"/>
          <w:caps w:val="false"/>
          <w:smallCaps w:val="false"/>
          <w:sz w:val="20"/>
        </w:rPr>
        <w:t xml:space="preserve"> (the “</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in connection with the issuance and sale by the Company of 1,263,750 ordinary shares, nominal value €0.13 per share (the “</w:t>
      </w:r>
      <w:r>
        <w:rPr>
          <w:rFonts w:ascii="Times New Roman;Times;Serif" w:hAnsi="Times New Roman;Times;Serif"/>
          <w:b w:val="false"/>
          <w:i w:val="false"/>
          <w:caps w:val="false"/>
          <w:smallCaps w:val="false"/>
          <w:sz w:val="20"/>
          <w:u w:val="single"/>
        </w:rPr>
        <w:t>New Shares</w:t>
      </w:r>
      <w:r>
        <w:rPr>
          <w:rFonts w:ascii="Times New Roman;Times;Serif" w:hAnsi="Times New Roman;Times;Serif"/>
          <w:b w:val="false"/>
          <w:i w:val="false"/>
          <w:caps w:val="false"/>
          <w:smallCaps w:val="false"/>
          <w:sz w:val="20"/>
        </w:rPr>
        <w:t>”), to be delivered in the form of an aggregate of 1,263,750 American depositary shares (the “</w:t>
      </w:r>
      <w:r>
        <w:rPr>
          <w:rFonts w:ascii="Times New Roman;Times;Serif" w:hAnsi="Times New Roman;Times;Serif"/>
          <w:b w:val="false"/>
          <w:i w:val="false"/>
          <w:caps w:val="false"/>
          <w:smallCaps w:val="false"/>
          <w:sz w:val="20"/>
          <w:u w:val="single"/>
        </w:rPr>
        <w:t>ADSs</w:t>
      </w:r>
      <w:r>
        <w:rPr>
          <w:rFonts w:ascii="Times New Roman;Times;Serif" w:hAnsi="Times New Roman;Times;Serif"/>
          <w:b w:val="false"/>
          <w:i w:val="false"/>
          <w:caps w:val="false"/>
          <w:smallCaps w:val="false"/>
          <w:sz w:val="20"/>
        </w:rPr>
        <w:t>”), each ADS representing one New Share, pursuant to the underwriting agreement, dated August 11, 2026 (the “</w:t>
      </w:r>
      <w:r>
        <w:rPr>
          <w:rFonts w:ascii="Times New Roman;Times;Serif" w:hAnsi="Times New Roman;Times;Serif"/>
          <w:b w:val="false"/>
          <w:i w:val="false"/>
          <w:caps w:val="false"/>
          <w:smallCaps w:val="false"/>
          <w:sz w:val="20"/>
          <w:u w:val="single"/>
        </w:rPr>
        <w:t>Underwriting Agreement</w:t>
      </w:r>
      <w:r>
        <w:rPr>
          <w:rFonts w:ascii="Times New Roman;Times;Serif" w:hAnsi="Times New Roman;Times;Serif"/>
          <w:b w:val="false"/>
          <w:i w:val="false"/>
          <w:caps w:val="false"/>
          <w:smallCaps w:val="false"/>
          <w:sz w:val="20"/>
        </w:rPr>
        <w:t>”), by and among the Company, TD Securities (USA) LLC and Mizuho Securities USA LLC, acting as the representatives of the several underwriters named therein.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opinions expressed herein, we have examined such documents, records and matters of law as we have deemed relevant or necessary for purposes of such opinions. Based on the foregoing, and subject to the further limitations, qualifications and assumptions set forth herein, we are of the opinion that, as of the date hereof:</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6"/>
        <w:gridCol w:w="353"/>
        <w:gridCol w:w="9786"/>
      </w:tblGrid>
      <w:tr>
        <w:trPr/>
        <w:tc>
          <w:tcPr>
            <w:tcW w:w="66"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pPr>
            <w:r>
              <w:rPr/>
              <w:t>1.</w:t>
            </w:r>
          </w:p>
        </w:tc>
        <w:tc>
          <w:tcPr>
            <w:tcW w:w="9786" w:type="dxa"/>
            <w:tcBorders/>
            <w:vAlign w:val="center"/>
          </w:tcPr>
          <w:p>
            <w:pPr>
              <w:pStyle w:val="TableContents"/>
              <w:bidi w:val="0"/>
              <w:spacing w:before="0" w:after="283"/>
              <w:jc w:val="both"/>
              <w:rPr/>
            </w:pPr>
            <w:r>
              <w:rPr/>
              <w:t>The issuance of the New Shares has been duly authorized;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38"/>
        <w:gridCol w:w="10030"/>
      </w:tblGrid>
      <w:tr>
        <w:trPr/>
        <w:tc>
          <w:tcPr>
            <w:tcW w:w="37"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20"/>
              </w:rPr>
            </w:pPr>
            <w:r>
              <w:rPr>
                <w:sz w:val="20"/>
              </w:rPr>
              <w:t>2.</w:t>
            </w:r>
          </w:p>
        </w:tc>
        <w:tc>
          <w:tcPr>
            <w:tcW w:w="10030" w:type="dxa"/>
            <w:tcBorders/>
            <w:vAlign w:val="center"/>
          </w:tcPr>
          <w:p>
            <w:pPr>
              <w:pStyle w:val="TableContents"/>
              <w:bidi w:val="0"/>
              <w:spacing w:before="0" w:after="283"/>
              <w:jc w:val="both"/>
              <w:rPr/>
            </w:pPr>
            <w:r>
              <w:rPr>
                <w:sz w:val="20"/>
              </w:rPr>
              <w:t>The New Shares, when issued and delivered pursuant to the Underwriting Agreement against full payment of their subscription price as provided in the Underwriting Agreement, as shall be acknowledged by the certificate of the depository (</w:t>
            </w:r>
            <w:r>
              <w:rPr>
                <w:i/>
                <w:sz w:val="20"/>
              </w:rPr>
              <w:t>certificat du dépositaire</w:t>
            </w:r>
            <w:r>
              <w:rPr>
                <w:sz w:val="20"/>
              </w:rPr>
              <w:t xml:space="preserve">) to be delivered by </w:t>
            </w:r>
            <w:r>
              <w:rPr/>
              <w:t>BNP Paribas, will be validly issued, fully paid and non-assessable.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 “non-assessable,” which has no recognized meaning in French law, for the purposes of this opinion means that no present or future holder of New Shares will be subject to personal liability, by reason of being such a holder, for additional payments or calls for further funds by the Company or any other person after the issuance of the New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rendering the foregoing opinions, we have assumed the genuineness of all signatures, the authenticity of all documents submitted to us as originals and the conformity to originals of all documents submitted to us as certified or reproduced copies. We have also assumed that (i) the resolutions authorizing the Company to issue, offer and sell the New Shares as adopted by the extraordinary shareholders’ meeting and/or the board of directors of the Company, as applicable, are accurately reflected in the minutes of such meetings provided to us, and remain in full force and effect and (ii) all New Shares will be issued in compliance with applicable securities and corporate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to facts material to the opinions and assumptions expressed herein, we have relied upon written statements and representations of officers and other representatives of the Company and others. We are members of the Paris bar and this opinion is limited to the laws of the Republic of France as currently in effect. This opinion is subject to the sovereign power of the French courts to interpret agreements and assess the facts and circumstances of any adjudication. This opinion is given on the basis that it is to be governed by, and construed in accordance with, the laws of the Republic of France.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hereby consent to the filing of this opinion as Exhibit 5.1 to the Current Report on Form 8-K filed on the date hereof by the Company and incorporated by reference into the registration statement on Form S-3 (File No. 333-294597) (the “</w:t>
      </w:r>
      <w:r>
        <w:rPr>
          <w:rFonts w:ascii="Times New Roman;Times;Serif" w:hAnsi="Times New Roman;Times;Serif"/>
          <w:b w:val="false"/>
          <w:i w:val="false"/>
          <w:caps w:val="false"/>
          <w:smallCaps w:val="false"/>
          <w:sz w:val="20"/>
          <w:u w:val="single"/>
        </w:rPr>
        <w:t>Registration Statement</w:t>
      </w:r>
      <w:r>
        <w:rPr>
          <w:rFonts w:ascii="Times New Roman;Times;Serif" w:hAnsi="Times New Roman;Times;Serif"/>
          <w:b w:val="false"/>
          <w:i w:val="false"/>
          <w:caps w:val="false"/>
          <w:smallCaps w:val="false"/>
          <w:sz w:val="20"/>
        </w:rPr>
        <w:t>”) filed by the Company to effect the registration of the New Shares under the Securities Act of 1933 (the “</w:t>
      </w:r>
      <w:r>
        <w:rPr>
          <w:rFonts w:ascii="Times New Roman;Times;Serif" w:hAnsi="Times New Roman;Times;Serif"/>
          <w:b w:val="false"/>
          <w:i w:val="false"/>
          <w:caps w:val="false"/>
          <w:smallCaps w:val="false"/>
          <w:sz w:val="20"/>
          <w:u w:val="single"/>
        </w:rPr>
        <w:t>Securities Act</w:t>
      </w:r>
      <w:r>
        <w:rPr>
          <w:rFonts w:ascii="Times New Roman;Times;Serif" w:hAnsi="Times New Roman;Times;Serif"/>
          <w:b w:val="false"/>
          <w:i w:val="false"/>
          <w:caps w:val="false"/>
          <w:smallCaps w:val="false"/>
          <w:sz w:val="20"/>
        </w:rPr>
        <w:t>”) and to the reference to Jones Day under the caption “Legal Matters” in the prospectus constituting a part of such Registration Statement and the final prospectus supplement, dated August 11, 2026 filed by the Company pursuant to Rule 424(b) under the Securities Act on August 12, 2026 relating to the New Shares. In giving such consent, we do not thereby admit that we are included in the category of persons whose consent is required under Section 7 of the Securities Act or the rules and regulations of the Securities and Exchange Commission promulgated thereunder.</w:t>
      </w:r>
    </w:p>
    <w:p>
      <w:pPr>
        <w:pStyle w:val="TextBody"/>
        <w:bidi w:val="0"/>
        <w:spacing w:before="0" w:after="0"/>
        <w:ind w:left="0" w:right="0" w:hanging="0"/>
        <w:jc w:val="left"/>
        <w:rPr>
          <w:caps w:val="false"/>
          <w:smallCaps w:val="false"/>
        </w:rPr>
      </w:pPr>
      <w:r>
        <w:rPr>
          <w:caps w:val="false"/>
          <w:smallCaps w:val="false"/>
        </w:rPr>
        <w:t> </w:t>
      </w:r>
    </w:p>
    <w:tbl>
      <w:tblPr>
        <w:tblW w:w="1475" w:type="dxa"/>
        <w:jc w:val="left"/>
        <w:tblInd w:w="0" w:type="dxa"/>
        <w:tblLayout w:type="fixed"/>
        <w:tblCellMar>
          <w:top w:w="0" w:type="dxa"/>
          <w:left w:w="0" w:type="dxa"/>
          <w:bottom w:w="0" w:type="dxa"/>
          <w:right w:w="0" w:type="dxa"/>
        </w:tblCellMar>
      </w:tblPr>
      <w:tblGrid>
        <w:gridCol w:w="75"/>
        <w:gridCol w:w="1400"/>
      </w:tblGrid>
      <w:tr>
        <w:trPr/>
        <w:tc>
          <w:tcPr>
            <w:tcW w:w="75" w:type="dxa"/>
            <w:tcBorders/>
            <w:vAlign w:val="center"/>
          </w:tcPr>
          <w:p>
            <w:pPr>
              <w:pStyle w:val="TableContents"/>
              <w:bidi w:val="0"/>
              <w:spacing w:before="0" w:after="283"/>
              <w:jc w:val="left"/>
              <w:rPr/>
            </w:pPr>
            <w:r>
              <w:rPr/>
              <w:t> </w:t>
            </w:r>
          </w:p>
        </w:tc>
        <w:tc>
          <w:tcPr>
            <w:tcW w:w="14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Very truly yours,</w:t>
            </w:r>
          </w:p>
        </w:tc>
      </w:tr>
      <w:tr>
        <w:trPr/>
        <w:tc>
          <w:tcPr>
            <w:tcW w:w="75" w:type="dxa"/>
            <w:tcBorders/>
            <w:vAlign w:val="center"/>
          </w:tcPr>
          <w:p>
            <w:pPr>
              <w:pStyle w:val="TableContents"/>
              <w:bidi w:val="0"/>
              <w:spacing w:before="0" w:after="283"/>
              <w:jc w:val="left"/>
              <w:rPr/>
            </w:pPr>
            <w:r>
              <w:rPr/>
              <w:t> </w:t>
            </w:r>
          </w:p>
        </w:tc>
        <w:tc>
          <w:tcPr>
            <w:tcW w:w="140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14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Jones Day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Symbol">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1375</Words>
  <Characters>7339</Characters>
  <CharactersWithSpaces>8713</CharactersWithSpaces>
  <Paragraphs>181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