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WILLSEY LANCE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4410 EL CAMINO REAL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ALTOS,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EDAP TMS SA</w:t>
              </w:r>
            </w:hyperlink>
            <w:r>
              <w:rPr/>
              <w:t xml:space="preserve"> [ </w:t>
            </w:r>
            <w:r>
              <w:rPr>
                <w:rFonts w:ascii="Times;serif" w:hAnsi="Times;serif"/>
                <w:color w:val="0000FF"/>
                <w:sz w:val="24"/>
                <w:shd w:fill="FFFFFF" w:val="clear"/>
              </w:rPr>
              <w:t>FOCL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927"/>
        <w:gridCol w:w="452"/>
        <w:gridCol w:w="667"/>
        <w:gridCol w:w="1275"/>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(1)(2)</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4.75</w:t>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1,291,780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Common Stock for the issuer refers to the issuer's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represent ordinary shares purchased by the reporting person in connection with an underwritten public offering of American Depositary Shares, each of which represents one ordinary share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Blandine Confort,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2106" TargetMode="External"/><Relationship Id="rId5" Type="http://schemas.openxmlformats.org/officeDocument/2006/relationships/hyperlink" Target="http://www.sec.gov/cgi-bin/browse-edgar?action=getcompany&amp;CIK=00010419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3313</Characters>
  <CharactersWithSpaces>3853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